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782D8265" w:rsidR="00674F3F" w:rsidRPr="005D4BE4" w:rsidRDefault="00674F3F" w:rsidP="00E62377">
      <w:pPr>
        <w:spacing w:after="0"/>
        <w:jc w:val="both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 xml:space="preserve">PRIJAVE </w:t>
      </w:r>
      <w:r w:rsidR="00E62377" w:rsidRPr="005D4BE4">
        <w:rPr>
          <w:rFonts w:asciiTheme="minorHAnsi" w:hAnsiTheme="minorHAnsi"/>
          <w:color w:val="000000"/>
          <w:lang w:val="hr-HR"/>
        </w:rPr>
        <w:t xml:space="preserve">PROJEKTA </w:t>
      </w:r>
      <w:r w:rsidR="00251BD9">
        <w:rPr>
          <w:rFonts w:asciiTheme="minorHAnsi" w:hAnsiTheme="minorHAnsi"/>
          <w:color w:val="000000"/>
          <w:lang w:val="hr-HR"/>
        </w:rPr>
        <w:t xml:space="preserve">NA NATJEČAJ </w:t>
      </w:r>
      <w:r w:rsidR="00E62377" w:rsidRPr="005D4BE4">
        <w:rPr>
          <w:rFonts w:asciiTheme="minorHAnsi" w:hAnsiTheme="minorHAnsi"/>
          <w:color w:val="000000"/>
          <w:lang w:val="hr-HR"/>
        </w:rPr>
        <w:t xml:space="preserve">ZA </w:t>
      </w:r>
      <w:r w:rsidR="00E62377" w:rsidRPr="00E62377">
        <w:rPr>
          <w:rFonts w:asciiTheme="minorHAnsi" w:hAnsiTheme="minorHAnsi"/>
          <w:color w:val="000000"/>
          <w:lang w:val="hr-HR"/>
        </w:rPr>
        <w:t xml:space="preserve">MJERU </w:t>
      </w:r>
      <w:r w:rsidR="00B04C2C">
        <w:rPr>
          <w:rFonts w:asciiTheme="minorHAnsi" w:hAnsiTheme="minorHAnsi"/>
          <w:color w:val="000000"/>
          <w:lang w:val="hr-HR"/>
        </w:rPr>
        <w:t>2</w:t>
      </w:r>
      <w:r w:rsidR="00E62377" w:rsidRPr="00E62377">
        <w:rPr>
          <w:rFonts w:asciiTheme="minorHAnsi" w:hAnsiTheme="minorHAnsi"/>
          <w:color w:val="000000"/>
          <w:lang w:val="hr-HR"/>
        </w:rPr>
        <w:t xml:space="preserve"> RAZVOJ I ODRŽIVOST MALIH POLJOPRIVREDNIH GOSPODARSTAVA, </w:t>
      </w:r>
      <w:r w:rsidR="00EA74F6">
        <w:rPr>
          <w:rFonts w:asciiTheme="minorHAnsi" w:hAnsiTheme="minorHAnsi"/>
          <w:color w:val="000000"/>
          <w:lang w:val="hr-HR"/>
        </w:rPr>
        <w:t>REFERENTNA OZNAKA</w:t>
      </w:r>
      <w:r w:rsidR="0008575D">
        <w:rPr>
          <w:rFonts w:asciiTheme="minorHAnsi" w:hAnsiTheme="minorHAnsi"/>
          <w:color w:val="000000"/>
          <w:lang w:val="hr-HR"/>
        </w:rPr>
        <w:t xml:space="preserve">: </w:t>
      </w:r>
      <w:r w:rsidR="00EA74F6">
        <w:rPr>
          <w:rFonts w:asciiTheme="minorHAnsi" w:hAnsiTheme="minorHAnsi"/>
          <w:color w:val="000000"/>
          <w:lang w:val="hr-HR"/>
        </w:rPr>
        <w:t>1263100</w:t>
      </w:r>
    </w:p>
    <w:p w14:paraId="786F89BD" w14:textId="77777777" w:rsidR="00674F3F" w:rsidRPr="008A6434" w:rsidRDefault="00674F3F" w:rsidP="00B94618">
      <w:pPr>
        <w:spacing w:after="0"/>
        <w:jc w:val="center"/>
        <w:rPr>
          <w:rFonts w:asciiTheme="minorHAnsi" w:hAnsiTheme="minorHAnsi"/>
          <w:color w:val="000000"/>
          <w:sz w:val="1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29"/>
      </w:tblGrid>
      <w:tr w:rsidR="00674F3F" w:rsidRPr="00BA5BE9" w14:paraId="3A7BC660" w14:textId="77777777" w:rsidTr="00266D24">
        <w:trPr>
          <w:trHeight w:val="1151"/>
          <w:tblCellSpacing w:w="15" w:type="dxa"/>
        </w:trPr>
        <w:tc>
          <w:tcPr>
            <w:tcW w:w="9316" w:type="dxa"/>
            <w:gridSpan w:val="2"/>
            <w:tcBorders>
              <w:top w:val="double" w:sz="4" w:space="0" w:color="666666"/>
              <w:left w:val="double" w:sz="4" w:space="0" w:color="666666"/>
              <w:bottom w:val="double" w:sz="4" w:space="0" w:color="666666"/>
              <w:right w:val="double" w:sz="4" w:space="0" w:color="666666"/>
            </w:tcBorders>
            <w:shd w:val="clear" w:color="auto" w:fill="31849B" w:themeFill="accent5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6B250B2" w:rsidR="00674F3F" w:rsidRPr="00CA6D15" w:rsidRDefault="00674F3F" w:rsidP="00EE3336">
            <w:pPr>
              <w:pStyle w:val="CommentText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CA6D1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OBAVEZNA DOKUMENTACIJA</w:t>
            </w:r>
            <w:r w:rsidR="007D26AB" w:rsidRPr="00CA6D15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ZA SVE NOSITELJE PROJEKATA</w:t>
            </w:r>
            <w:r w:rsidR="00710271" w:rsidRPr="00CA6D15">
              <w:rPr>
                <w:rFonts w:asciiTheme="minorHAnsi" w:hAnsiTheme="minorHAnsi"/>
                <w:color w:val="FFFFFF" w:themeColor="background1"/>
              </w:rPr>
              <w:t xml:space="preserve"> </w:t>
            </w:r>
          </w:p>
          <w:p w14:paraId="6974A0B4" w14:textId="77777777" w:rsidR="008677A0" w:rsidRPr="00CA6D15" w:rsidRDefault="008677A0">
            <w:pPr>
              <w:pStyle w:val="Header"/>
              <w:jc w:val="both"/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</w:pPr>
            <w:r w:rsidRPr="00CA6D15"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  <w:t xml:space="preserve">Napomena: </w:t>
            </w:r>
          </w:p>
          <w:p w14:paraId="75D1C106" w14:textId="61FD3DED" w:rsidR="008677A0" w:rsidRPr="00CA6D15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Svi dokumenti navedeni u popisu moraju biti priloženi prema redoslijedu</w:t>
            </w:r>
            <w:r w:rsidR="00150BB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(r</w:t>
            </w:r>
            <w:r w:rsidR="007D26A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.</w:t>
            </w:r>
            <w:r w:rsidR="00150BB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br. </w:t>
            </w:r>
            <w:r w:rsidR="0088418B">
              <w:rPr>
                <w:rFonts w:ascii="Cambria" w:hAnsi="Cambria" w:cs="Arial"/>
                <w:bCs/>
                <w:i/>
                <w:color w:val="FFFFFF" w:themeColor="background1"/>
              </w:rPr>
              <w:t>1.-15.)</w:t>
            </w:r>
          </w:p>
          <w:p w14:paraId="0AE6FA9F" w14:textId="2740CE7E" w:rsidR="008677A0" w:rsidRPr="00CA6D15" w:rsidRDefault="008677A0">
            <w:pPr>
              <w:pStyle w:val="Header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</w:rPr>
            </w:pP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Svi dokumenti moraju biti originali ili preslike ovjerene od strane javnog bilježnika.</w:t>
            </w:r>
          </w:p>
          <w:p w14:paraId="6A041A8F" w14:textId="737B3864" w:rsidR="008677A0" w:rsidRPr="00CA6D15" w:rsidRDefault="008677A0" w:rsidP="003A468C">
            <w:pPr>
              <w:pStyle w:val="Header"/>
              <w:jc w:val="both"/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Nositelj projekta</w:t>
            </w:r>
            <w:r w:rsidR="00394799">
              <w:rPr>
                <w:rFonts w:asciiTheme="minorHAnsi" w:hAnsiTheme="minorHAnsi" w:cs="Arial"/>
                <w:bCs/>
                <w:i/>
                <w:color w:val="FFFFFF" w:themeColor="background1"/>
              </w:rPr>
              <w:t>, u bilo kojem trenutku,</w:t>
            </w:r>
            <w:r w:rsidR="00156C0B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može od LAG-a</w:t>
            </w:r>
            <w:r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 xml:space="preserve"> zatražiti </w:t>
            </w:r>
            <w:r w:rsidR="00C35EDC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povrat originalne dokumentacije</w:t>
            </w:r>
            <w:r w:rsidR="003A468C" w:rsidRPr="00CA6D15">
              <w:rPr>
                <w:rFonts w:asciiTheme="minorHAnsi" w:hAnsiTheme="minorHAnsi" w:cs="Arial"/>
                <w:bCs/>
                <w:i/>
                <w:color w:val="FFFFFF" w:themeColor="background1"/>
              </w:rPr>
              <w:t>.</w:t>
            </w:r>
          </w:p>
        </w:tc>
      </w:tr>
      <w:tr w:rsidR="00674F3F" w:rsidRPr="00BA5BE9" w14:paraId="768A9611" w14:textId="77777777" w:rsidTr="00B04C2C">
        <w:trPr>
          <w:trHeight w:val="327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04E9C" w14:textId="1AFA5EFA" w:rsidR="00674F3F" w:rsidRPr="0088418B" w:rsidRDefault="00674F3F" w:rsidP="0088418B">
            <w:pPr>
              <w:spacing w:after="12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2638A9DE" w14:textId="7F1B737C" w:rsidR="008F4F37" w:rsidRPr="008F4F37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71EE059" w14:textId="73909A25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- 9.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B04C2C">
        <w:trPr>
          <w:trHeight w:val="248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88418B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B04C2C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80A68" w14:textId="2CC036A8" w:rsidR="00994CE8" w:rsidRPr="0088418B" w:rsidRDefault="000C0882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06114B1E" w14:textId="77777777" w:rsidR="00B60AF0" w:rsidRPr="00BA5BE9" w:rsidRDefault="00B60AF0" w:rsidP="0088418B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B04C2C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4BE958F2" w:rsidR="00CC3CA6" w:rsidRPr="0088418B" w:rsidRDefault="00B671FD" w:rsidP="009B6DC0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Savjetodavne službe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18195769" w14:textId="519AAA58" w:rsidR="00CC3CA6" w:rsidRPr="00BA5BE9" w:rsidRDefault="00CC3CA6" w:rsidP="0088418B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lastRenderedPageBreak/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B04C2C">
        <w:trPr>
          <w:trHeight w:val="189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88418B">
            <w:pPr>
              <w:spacing w:after="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0F34BA" w:rsidRPr="00BA5BE9" w14:paraId="40948437" w14:textId="77777777" w:rsidTr="00B04C2C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95E561" w14:textId="334CEA56" w:rsidR="000F34BA" w:rsidRPr="001D6F04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0F34BA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7B579" w14:textId="4C9D2393" w:rsidR="000F34BA" w:rsidRPr="005D4BE4" w:rsidRDefault="000F34BA" w:rsidP="0088418B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D. FADN kalkulator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6569BC32" w14:textId="77777777" w:rsidR="000F34BA" w:rsidRPr="005D4BE4" w:rsidRDefault="000F34BA" w:rsidP="0088418B">
            <w:pPr>
              <w:spacing w:after="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274DE884" w14:textId="514150FC" w:rsidR="007E0864" w:rsidRPr="007E0864" w:rsidRDefault="007E0864" w:rsidP="007E0864">
            <w:pPr>
              <w:spacing w:after="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7E086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Ukoliko planirate ostvarenje cilja „povećanje proizvodnog kapaciteta iskazanom kroz povećanje ukupnog st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andardnog ekonomskog rezultata“, p</w:t>
            </w:r>
            <w:r w:rsidR="000F34BA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reuzmite p</w:t>
            </w:r>
            <w:r w:rsidR="000F34BA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0F34BA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(Obrazac D. sastavni dio Natječaja) </w:t>
            </w:r>
            <w:r w:rsidR="000F34BA" w:rsidRPr="007E086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te ga popunite za planiranu proizvodnju. </w:t>
            </w:r>
          </w:p>
          <w:p w14:paraId="2465BF34" w14:textId="34574682" w:rsidR="000F34BA" w:rsidRPr="000F34BA" w:rsidRDefault="000F34BA" w:rsidP="000F34BA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0F34BA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U FADN kalkulator unose se podaci za godinu kada </w:t>
            </w:r>
            <w:r w:rsidR="007E086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se </w:t>
            </w:r>
            <w:r w:rsidRPr="000F34BA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planira predati drugi (konačan) zahtjev za isplatu</w:t>
            </w:r>
            <w:r w:rsidR="007E086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Pr="000F34BA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Navedeni podaci moraju odgovarati podacima </w:t>
            </w:r>
            <w:r w:rsidR="007E086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u </w:t>
            </w:r>
            <w:r w:rsidR="007E0864" w:rsidRPr="007E086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tablici „Podatci o zemljištu, broju životinja, objektima, opremi i mehanizaciji“ iz tabličnog dijela Poslovnog plana)</w:t>
            </w:r>
            <w:r w:rsidRPr="000F34BA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 </w:t>
            </w:r>
          </w:p>
          <w:p w14:paraId="798D6625" w14:textId="7051CF67" w:rsidR="000F34BA" w:rsidRPr="005D4BE4" w:rsidRDefault="000F34BA" w:rsidP="00B04C2C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t xml:space="preserve">NAPOMENA: </w:t>
            </w:r>
            <w:r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nije potrebno ispuniti</w:t>
            </w:r>
            <w:r w:rsidR="007E0864">
              <w:rPr>
                <w:rFonts w:asciiTheme="minorHAnsi" w:hAnsiTheme="minorHAnsi"/>
                <w:i/>
                <w:color w:val="000000"/>
                <w:lang w:val="hr-HR"/>
              </w:rPr>
              <w:t xml:space="preserve"> ukoliko se aktivnosti odnose isključivo na ostvarenje cilja </w:t>
            </w:r>
            <w:r w:rsidR="007E0864" w:rsidRPr="007E0864">
              <w:rPr>
                <w:rFonts w:asciiTheme="minorHAnsi" w:hAnsiTheme="minorHAnsi"/>
                <w:i/>
                <w:color w:val="000000"/>
                <w:lang w:val="hr-HR"/>
              </w:rPr>
              <w:t>„</w:t>
            </w:r>
            <w:r w:rsidR="007E0864">
              <w:rPr>
                <w:rFonts w:asciiTheme="minorHAnsi" w:hAnsiTheme="minorHAnsi"/>
                <w:i/>
                <w:color w:val="000000"/>
                <w:lang w:val="hr-HR"/>
              </w:rPr>
              <w:t>m</w:t>
            </w:r>
            <w:r w:rsidR="007E0864" w:rsidRPr="007E0864">
              <w:rPr>
                <w:rFonts w:asciiTheme="minorHAnsi" w:hAnsiTheme="minorHAnsi"/>
                <w:i/>
                <w:color w:val="000000"/>
                <w:lang w:val="hr-HR"/>
              </w:rPr>
              <w:t>odernizacij</w:t>
            </w:r>
            <w:r w:rsidR="007E0864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7E0864" w:rsidRPr="007E0864">
              <w:rPr>
                <w:rFonts w:asciiTheme="minorHAnsi" w:hAnsiTheme="minorHAnsi"/>
                <w:i/>
                <w:color w:val="000000"/>
                <w:lang w:val="hr-HR"/>
              </w:rPr>
              <w:t xml:space="preserve"> i/ili unapređenje procesa rada i poslovanja”</w:t>
            </w:r>
            <w:r w:rsidRPr="007E0864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</w:tc>
      </w:tr>
      <w:tr w:rsidR="000F34BA" w:rsidRPr="00BA5BE9" w14:paraId="145480F9" w14:textId="77777777" w:rsidTr="00B04C2C">
        <w:trPr>
          <w:trHeight w:val="78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6BDF7753" w:rsidR="000F34BA" w:rsidRPr="001D6F04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0F34BA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0F34BA" w:rsidRPr="005D4BE4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Potvrda Porezne uprave iz koje je vidljivo da nositelj projekta ima regulirane financijske obveze prema državnom proračunu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prijave projekta i ovjerena od strane Porezne uprave. U Potvrdi ne smije biti naveden dug.</w:t>
            </w:r>
          </w:p>
        </w:tc>
      </w:tr>
      <w:tr w:rsidR="000F34BA" w:rsidRPr="00BA5BE9" w14:paraId="44F35379" w14:textId="77777777" w:rsidTr="00266D24">
        <w:trPr>
          <w:trHeight w:val="145"/>
          <w:tblCellSpacing w:w="15" w:type="dxa"/>
        </w:trPr>
        <w:tc>
          <w:tcPr>
            <w:tcW w:w="9316" w:type="dxa"/>
            <w:gridSpan w:val="2"/>
            <w:tcBorders>
              <w:top w:val="double" w:sz="4" w:space="0" w:color="666666"/>
              <w:left w:val="double" w:sz="4" w:space="0" w:color="666666"/>
              <w:bottom w:val="double" w:sz="4" w:space="0" w:color="666666"/>
              <w:right w:val="double" w:sz="4" w:space="0" w:color="666666"/>
            </w:tcBorders>
            <w:shd w:val="clear" w:color="auto" w:fill="31849B" w:themeFill="accent5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0F34BA" w:rsidRPr="00CA6D15" w:rsidRDefault="000F34BA" w:rsidP="000F34BA">
            <w:pPr>
              <w:spacing w:after="0"/>
              <w:jc w:val="both"/>
              <w:rPr>
                <w:rFonts w:asciiTheme="minorHAnsi" w:hAnsiTheme="minorHAnsi"/>
                <w:b/>
                <w:color w:val="FFFFFF" w:themeColor="background1"/>
                <w:lang w:val="hr-HR"/>
              </w:rPr>
            </w:pPr>
            <w:r w:rsidRPr="00CA6D15">
              <w:rPr>
                <w:rFonts w:asciiTheme="minorHAnsi" w:hAnsiTheme="minorHAnsi"/>
                <w:b/>
                <w:color w:val="FFFFFF" w:themeColor="background1"/>
                <w:lang w:val="hr-HR"/>
              </w:rPr>
              <w:t>OBAVEZNA DOKUMENTACIJA VEZANA UZ POREZNI STATUS NOSITELJA PROJEKTA:</w:t>
            </w:r>
          </w:p>
        </w:tc>
      </w:tr>
      <w:tr w:rsidR="000F34BA" w:rsidRPr="00BA5BE9" w14:paraId="72CAE2A1" w14:textId="77777777" w:rsidTr="00266D24">
        <w:trPr>
          <w:tblCellSpacing w:w="15" w:type="dxa"/>
        </w:trPr>
        <w:tc>
          <w:tcPr>
            <w:tcW w:w="93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0F34BA" w:rsidRPr="005D4BE4" w:rsidRDefault="000F34BA" w:rsidP="0088418B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0F34BA" w:rsidRPr="00BA5BE9" w14:paraId="3C8D36FC" w14:textId="77777777" w:rsidTr="00B04C2C">
        <w:trPr>
          <w:trHeight w:val="48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double" w:sz="4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2D8193AD" w:rsidR="000F34BA" w:rsidRPr="005D4BE4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0F34BA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double" w:sz="4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0F34BA" w:rsidRPr="005D4BE4" w:rsidRDefault="000F34BA" w:rsidP="0088418B">
            <w:pPr>
              <w:spacing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5DADDAAD" w:rsidR="000F34BA" w:rsidRPr="005D4BE4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>za 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1. siječnja do 31. prosinca 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 xml:space="preserve">2017.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7AA00AB1" w:rsidR="000F34BA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>12.2017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0F34BA" w:rsidRPr="005D4BE4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0F34BA" w:rsidRPr="005D4BE4" w:rsidRDefault="000F34BA" w:rsidP="000F34BA">
            <w:pPr>
              <w:spacing w:before="120" w:after="12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68C726C7" w:rsidR="000F34BA" w:rsidRPr="00A348EB" w:rsidRDefault="000F34BA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0F34BA" w:rsidRPr="00BA5BE9" w14:paraId="051A4693" w14:textId="77777777" w:rsidTr="00B04C2C">
        <w:trPr>
          <w:trHeight w:val="4325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0F34BA" w:rsidRPr="00AF6B8D" w:rsidRDefault="000F34BA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84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0F34BA" w:rsidRPr="005D4BE4" w:rsidRDefault="000F34BA" w:rsidP="0088418B">
            <w:pPr>
              <w:spacing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780613AC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>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1C64ED9B" w:rsidR="000F34BA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Pr="00E62377">
              <w:rPr>
                <w:rFonts w:asciiTheme="minorHAnsi" w:hAnsiTheme="minorHAnsi"/>
                <w:color w:val="000000"/>
                <w:lang w:val="hr-HR" w:eastAsia="hr-HR"/>
              </w:rPr>
              <w:t>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13F851C5" w:rsidR="000F34BA" w:rsidRPr="005D4BE4" w:rsidRDefault="000F34BA" w:rsidP="0088418B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0F34BA" w:rsidRPr="00BA5BE9" w14:paraId="7FDB8687" w14:textId="77777777" w:rsidTr="00266D24">
        <w:trPr>
          <w:trHeight w:val="472"/>
          <w:tblCellSpacing w:w="15" w:type="dxa"/>
        </w:trPr>
        <w:tc>
          <w:tcPr>
            <w:tcW w:w="93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0F34BA" w:rsidRPr="00EA2AB6" w:rsidRDefault="000F34BA" w:rsidP="000F34BA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0F34BA" w:rsidRPr="00BA5BE9" w14:paraId="5CB01B5E" w14:textId="77777777" w:rsidTr="00B04C2C">
        <w:trPr>
          <w:trHeight w:val="410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48272A2A" w:rsidR="000F34BA" w:rsidRPr="008B5433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0F34BA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0F34BA" w:rsidRPr="005D4BE4" w:rsidRDefault="000F34BA" w:rsidP="0088418B">
            <w:pPr>
              <w:spacing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30A80E43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1113B1">
              <w:rPr>
                <w:rFonts w:asciiTheme="minorHAnsi" w:hAnsiTheme="minorHAnsi"/>
                <w:color w:val="000000"/>
                <w:lang w:val="hr-HR" w:eastAsia="hr-HR"/>
              </w:rPr>
              <w:t xml:space="preserve">2016.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0DE7C685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31.12.</w:t>
            </w:r>
            <w:r w:rsidRPr="001113B1">
              <w:rPr>
                <w:rFonts w:asciiTheme="minorHAnsi" w:hAnsiTheme="minorHAnsi"/>
                <w:color w:val="000000"/>
                <w:lang w:val="hr-HR" w:eastAsia="hr-HR"/>
              </w:rPr>
              <w:t xml:space="preserve">2016.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</w:p>
          <w:p w14:paraId="6E09569D" w14:textId="2BE71FE0" w:rsidR="000F34BA" w:rsidRPr="005D4BE4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F34BA" w:rsidRDefault="000F34BA" w:rsidP="000F34BA">
            <w:pPr>
              <w:spacing w:before="120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 čl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20. st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2580E3CE" w14:textId="0FB79078" w:rsidR="000F34BA" w:rsidRPr="007457A6" w:rsidRDefault="000F34BA" w:rsidP="005B4439">
            <w:pPr>
              <w:spacing w:before="120"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2017. godinu.  </w:t>
            </w:r>
          </w:p>
        </w:tc>
      </w:tr>
      <w:tr w:rsidR="000F34BA" w:rsidRPr="00BA5BE9" w14:paraId="1B31FDC1" w14:textId="77777777" w:rsidTr="001F4220">
        <w:trPr>
          <w:trHeight w:val="545"/>
          <w:tblCellSpacing w:w="15" w:type="dxa"/>
        </w:trPr>
        <w:tc>
          <w:tcPr>
            <w:tcW w:w="93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AEEF3" w:themeFill="accent5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0F34BA" w:rsidRPr="00AF6B8D" w:rsidRDefault="000F34BA" w:rsidP="000F34BA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0F34BA" w:rsidRPr="00BA5BE9" w14:paraId="43E9C7C7" w14:textId="77777777" w:rsidTr="00B04C2C">
        <w:trPr>
          <w:trHeight w:val="296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306A2E90" w:rsidR="000F34BA" w:rsidRPr="008B5433" w:rsidRDefault="007E0864" w:rsidP="000F34BA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</w:t>
            </w:r>
            <w:r w:rsidR="000F34BA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33197464" w:rsidR="000F34BA" w:rsidRPr="00EA2AB6" w:rsidRDefault="000F34BA" w:rsidP="000F34BA">
            <w:pPr>
              <w:spacing w:before="100" w:beforeAutospacing="1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Pr="001113B1">
              <w:rPr>
                <w:rFonts w:asciiTheme="minorHAnsi" w:hAnsiTheme="minorHAnsi"/>
                <w:color w:val="000000"/>
                <w:lang w:val="hr-HR" w:eastAsia="hr-HR"/>
              </w:rPr>
              <w:t>2017.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762CF240" w:rsidR="000F34BA" w:rsidRPr="00CA6D15" w:rsidRDefault="000F34BA" w:rsidP="000F34BA">
            <w:pPr>
              <w:spacing w:before="100" w:beforeAutospacing="1" w:after="24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0F34BA" w:rsidRPr="005D4BE4" w14:paraId="0AC9D974" w14:textId="77777777" w:rsidTr="00266D24">
        <w:trPr>
          <w:trHeight w:val="1339"/>
          <w:tblCellSpacing w:w="15" w:type="dxa"/>
        </w:trPr>
        <w:tc>
          <w:tcPr>
            <w:tcW w:w="9316" w:type="dxa"/>
            <w:gridSpan w:val="2"/>
            <w:tcBorders>
              <w:top w:val="double" w:sz="4" w:space="0" w:color="666666"/>
              <w:left w:val="double" w:sz="4" w:space="0" w:color="666666"/>
              <w:bottom w:val="double" w:sz="4" w:space="0" w:color="666666"/>
              <w:right w:val="double" w:sz="4" w:space="0" w:color="666666"/>
            </w:tcBorders>
            <w:shd w:val="clear" w:color="auto" w:fill="31849B" w:themeFill="accent5" w:themeFillShade="B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A86371" w14:textId="77777777" w:rsidR="000F34BA" w:rsidRPr="00471A82" w:rsidRDefault="000F34BA" w:rsidP="000F34BA">
            <w:pPr>
              <w:pStyle w:val="CommentText"/>
              <w:spacing w:after="0"/>
              <w:jc w:val="both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471A82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DODATNA DOKUMENTACIJA ZA BODOVANJE PRIJAVE PROJEKTA </w:t>
            </w:r>
          </w:p>
          <w:p w14:paraId="797EA383" w14:textId="77777777" w:rsidR="000F34BA" w:rsidRPr="00471A82" w:rsidRDefault="000F34BA" w:rsidP="000F34BA">
            <w:pPr>
              <w:pStyle w:val="Header"/>
              <w:jc w:val="both"/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</w:pPr>
          </w:p>
          <w:p w14:paraId="3EEFAD16" w14:textId="77777777" w:rsidR="000F34BA" w:rsidRPr="00471A82" w:rsidRDefault="000F34BA" w:rsidP="000F34BA">
            <w:pPr>
              <w:pStyle w:val="Header"/>
              <w:jc w:val="both"/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</w:pPr>
            <w:r w:rsidRPr="00471A82">
              <w:rPr>
                <w:rFonts w:asciiTheme="minorHAnsi" w:hAnsiTheme="minorHAnsi" w:cs="Arial"/>
                <w:b/>
                <w:bCs/>
                <w:i/>
                <w:color w:val="FFFFFF" w:themeColor="background1"/>
                <w:u w:val="single"/>
              </w:rPr>
              <w:t xml:space="preserve">Napomena: </w:t>
            </w:r>
          </w:p>
          <w:p w14:paraId="41025BF2" w14:textId="77777777" w:rsidR="000F34BA" w:rsidRPr="008A6434" w:rsidRDefault="000F34BA" w:rsidP="000F34BA">
            <w:pPr>
              <w:pStyle w:val="CommentText"/>
              <w:spacing w:after="0"/>
              <w:jc w:val="both"/>
              <w:rPr>
                <w:bCs/>
                <w:i/>
                <w:color w:val="FFFFFF" w:themeColor="background1"/>
                <w:sz w:val="22"/>
                <w:szCs w:val="22"/>
              </w:rPr>
            </w:pPr>
            <w:r w:rsidRPr="008A6434">
              <w:rPr>
                <w:bCs/>
                <w:i/>
                <w:color w:val="FFFFFF" w:themeColor="background1"/>
                <w:sz w:val="22"/>
                <w:szCs w:val="22"/>
              </w:rPr>
              <w:t>Nositelj projekta treba dostaviti dokumentaciju, ukoliko je zatražio bodove u Prijavnom obrascu A.</w:t>
            </w:r>
          </w:p>
          <w:p w14:paraId="7D24E09D" w14:textId="6EBB7D46" w:rsidR="000F34BA" w:rsidRPr="00471A82" w:rsidRDefault="000F34BA" w:rsidP="000F34BA">
            <w:pPr>
              <w:pStyle w:val="CommentText"/>
              <w:spacing w:after="0"/>
              <w:jc w:val="both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8A6434">
              <w:rPr>
                <w:bCs/>
                <w:i/>
                <w:color w:val="FFFFFF" w:themeColor="background1"/>
                <w:sz w:val="22"/>
                <w:szCs w:val="22"/>
              </w:rPr>
              <w:t>Ukoliko je nositelj projekta zatražio bodove, a nije dostavio dokumentaciju, bodovi neće biti dodijeljeni.</w:t>
            </w:r>
          </w:p>
        </w:tc>
      </w:tr>
      <w:tr w:rsidR="00B04C2C" w:rsidRPr="005D4BE4" w14:paraId="0B606742" w14:textId="77777777" w:rsidTr="00B04C2C">
        <w:trPr>
          <w:trHeight w:val="255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24838" w14:textId="018307D9" w:rsidR="00B04C2C" w:rsidRPr="001D6F04" w:rsidRDefault="00B04C2C" w:rsidP="00B04C2C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11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B1BACA" w14:textId="7DB5B71C" w:rsidR="00B04C2C" w:rsidRPr="00BA5BE9" w:rsidRDefault="00B04C2C" w:rsidP="00B04C2C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Obrazloženje na koji način 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aktivnosti iz poslovnog plana doprinose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ostvarenju ciljeva Lokalne razvojne strategije</w:t>
            </w:r>
          </w:p>
          <w:p w14:paraId="2357950D" w14:textId="77777777" w:rsidR="00B04C2C" w:rsidRPr="0080559A" w:rsidRDefault="00B04C2C" w:rsidP="00B04C2C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sz w:val="12"/>
                <w:lang w:val="hr-HR"/>
              </w:rPr>
            </w:pPr>
          </w:p>
          <w:p w14:paraId="71FDDA01" w14:textId="77777777" w:rsidR="00B04C2C" w:rsidRPr="00BA5BE9" w:rsidRDefault="00B04C2C" w:rsidP="00B04C2C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32A140BD" w14:textId="284E3D88" w:rsidR="00B04C2C" w:rsidRDefault="00B04C2C" w:rsidP="00B04C2C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Nositelj projekta treba obrazložiti na koji način prijavljene aktivnosti doprinose ciljevima (minimalno dva cilja) Lokalne razvojne strategije LAG-a „Laura“, kako bi se ostvarili bodovi po ovom kriteriju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Lokalna razvojna strategija LAG-a „Laura“ dostupna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je na </w:t>
            </w:r>
            <w:hyperlink r:id="rId8" w:history="1">
              <w:r w:rsidRPr="00952687">
                <w:rPr>
                  <w:rStyle w:val="Hyperlink"/>
                  <w:rFonts w:asciiTheme="minorHAnsi" w:hAnsiTheme="minorHAnsi"/>
                  <w:i/>
                  <w:lang w:val="hr-HR"/>
                </w:rPr>
                <w:t>www.lag-laura.hr</w:t>
              </w:r>
            </w:hyperlink>
            <w:r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 </w:t>
            </w:r>
          </w:p>
          <w:p w14:paraId="3621C152" w14:textId="0865630B" w:rsidR="00D56442" w:rsidRPr="00D56442" w:rsidRDefault="00D56442" w:rsidP="00D56442">
            <w:pPr>
              <w:spacing w:after="120"/>
              <w:jc w:val="both"/>
              <w:rPr>
                <w:rFonts w:eastAsia="Times New Roman"/>
                <w:i/>
                <w:sz w:val="20"/>
                <w:szCs w:val="20"/>
                <w:lang w:val="hr-HR"/>
              </w:rPr>
            </w:pPr>
            <w:r w:rsidRPr="00D56442">
              <w:rPr>
                <w:rFonts w:eastAsia="Times New Roman"/>
                <w:i/>
                <w:sz w:val="20"/>
                <w:szCs w:val="20"/>
                <w:lang w:val="hr-HR"/>
              </w:rPr>
              <w:t>Ciljevi</w:t>
            </w:r>
            <w:r w:rsidRPr="00D56442">
              <w:rPr>
                <w:rFonts w:eastAsia="Times New Roman"/>
                <w:i/>
                <w:sz w:val="20"/>
                <w:szCs w:val="20"/>
                <w:lang w:val="hr-HR"/>
              </w:rPr>
              <w:t xml:space="preserve"> su sljedeći</w:t>
            </w:r>
            <w:r w:rsidRPr="00D56442">
              <w:rPr>
                <w:rFonts w:eastAsia="Times New Roman"/>
                <w:i/>
                <w:sz w:val="20"/>
                <w:szCs w:val="20"/>
                <w:lang w:val="hr-HR"/>
              </w:rPr>
              <w:t>:</w:t>
            </w:r>
          </w:p>
          <w:p w14:paraId="48022D85" w14:textId="77777777" w:rsidR="00D56442" w:rsidRPr="00D56442" w:rsidRDefault="00D56442" w:rsidP="00D56442">
            <w:pPr>
              <w:spacing w:after="120"/>
              <w:jc w:val="both"/>
              <w:rPr>
                <w:rFonts w:eastAsia="Times New Roman"/>
                <w:i/>
                <w:sz w:val="20"/>
                <w:szCs w:val="20"/>
                <w:lang w:val="hr-HR"/>
              </w:rPr>
            </w:pPr>
            <w:r w:rsidRPr="00D56442">
              <w:rPr>
                <w:rFonts w:eastAsia="Times New Roman"/>
                <w:i/>
                <w:sz w:val="20"/>
                <w:szCs w:val="20"/>
                <w:lang w:val="hr-HR"/>
              </w:rPr>
              <w:t>C1: Održivi razvoj strateških gospodarskih grana LAG područja</w:t>
            </w:r>
          </w:p>
          <w:p w14:paraId="16993324" w14:textId="77777777" w:rsidR="00D56442" w:rsidRPr="00D56442" w:rsidRDefault="00D56442" w:rsidP="00D56442">
            <w:pPr>
              <w:spacing w:after="120"/>
              <w:jc w:val="both"/>
              <w:rPr>
                <w:rFonts w:eastAsia="Times New Roman"/>
                <w:i/>
                <w:sz w:val="20"/>
                <w:szCs w:val="20"/>
                <w:lang w:val="hr-HR"/>
              </w:rPr>
            </w:pPr>
            <w:r w:rsidRPr="00D56442">
              <w:rPr>
                <w:rFonts w:eastAsia="Times New Roman"/>
                <w:i/>
                <w:sz w:val="20"/>
                <w:szCs w:val="20"/>
                <w:lang w:val="hr-HR"/>
              </w:rPr>
              <w:t>C2: Očuvanje identiteta područja - zaštita, promicanje i razvoj prirodne te kulturno-povijesne baštine</w:t>
            </w:r>
          </w:p>
          <w:p w14:paraId="0E4BAE2B" w14:textId="77777777" w:rsidR="00D56442" w:rsidRPr="00D56442" w:rsidRDefault="00D56442" w:rsidP="00D56442">
            <w:pPr>
              <w:spacing w:after="120"/>
              <w:jc w:val="both"/>
              <w:rPr>
                <w:rFonts w:eastAsia="Times New Roman"/>
                <w:i/>
                <w:sz w:val="20"/>
                <w:szCs w:val="20"/>
                <w:lang w:val="hr-HR"/>
              </w:rPr>
            </w:pPr>
            <w:r w:rsidRPr="00D56442">
              <w:rPr>
                <w:rFonts w:eastAsia="Times New Roman"/>
                <w:i/>
                <w:sz w:val="20"/>
                <w:szCs w:val="20"/>
                <w:lang w:val="hr-HR"/>
              </w:rPr>
              <w:t>C3: Poboljšanje kvalitete života i stvaranje radnih mjesta</w:t>
            </w:r>
          </w:p>
          <w:p w14:paraId="04F04645" w14:textId="1452295A" w:rsidR="00EA74F6" w:rsidRDefault="00EA74F6" w:rsidP="00B04C2C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Doprinos Cilju 3. </w:t>
            </w:r>
            <w:r w:rsidRPr="00EA74F6">
              <w:rPr>
                <w:rFonts w:asciiTheme="minorHAnsi" w:hAnsiTheme="minorHAnsi"/>
                <w:i/>
                <w:color w:val="000000"/>
                <w:lang w:val="hr-HR"/>
              </w:rPr>
              <w:t>Poboljšanje kvalitete života i stvaranje radnih mjesta</w:t>
            </w:r>
            <w:r w:rsidR="00F4528D">
              <w:rPr>
                <w:rFonts w:asciiTheme="minorHAnsi" w:hAnsiTheme="minorHAnsi"/>
                <w:i/>
                <w:color w:val="000000"/>
                <w:lang w:val="hr-HR"/>
              </w:rPr>
              <w:t xml:space="preserve">, može </w:t>
            </w:r>
            <w:r w:rsidR="00D56442">
              <w:rPr>
                <w:rFonts w:asciiTheme="minorHAnsi" w:hAnsiTheme="minorHAnsi"/>
                <w:i/>
                <w:color w:val="000000"/>
                <w:lang w:val="hr-HR"/>
              </w:rPr>
              <w:t xml:space="preserve">dokazati </w:t>
            </w:r>
            <w:r w:rsidR="00F4528D">
              <w:rPr>
                <w:rFonts w:asciiTheme="minorHAnsi" w:hAnsiTheme="minorHAnsi"/>
                <w:i/>
                <w:color w:val="000000"/>
                <w:lang w:val="hr-HR"/>
              </w:rPr>
              <w:t>isključivo stvaranjem minimalno jednog radnog mjesta</w:t>
            </w:r>
            <w:r w:rsidR="00363B11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363B11" w:rsidRPr="00363B11">
              <w:rPr>
                <w:rFonts w:asciiTheme="minorHAnsi" w:hAnsiTheme="minorHAnsi"/>
                <w:i/>
                <w:color w:val="000000"/>
                <w:lang w:val="hr-HR"/>
              </w:rPr>
              <w:t>(zapošljavanjem osobe u PG-u ili početak plaćanja doprinosa po osnovi poljoprivrede nositelja ili člana OPG-a)</w:t>
            </w:r>
            <w:r w:rsidR="00363B11">
              <w:rPr>
                <w:rFonts w:asciiTheme="minorHAnsi" w:hAnsiTheme="minorHAnsi"/>
                <w:i/>
                <w:color w:val="000000"/>
                <w:lang w:val="hr-HR"/>
              </w:rPr>
              <w:t xml:space="preserve">. U slučaju da je nositelj projekta zatražio bodove i obrazložio doprinos Cilju 3. potrebno je dostaviti </w:t>
            </w:r>
            <w:r w:rsidR="00363B11" w:rsidRPr="00363B11">
              <w:rPr>
                <w:rFonts w:asciiTheme="minorHAnsi" w:hAnsiTheme="minorHAnsi"/>
                <w:b/>
                <w:i/>
                <w:color w:val="000000"/>
                <w:lang w:val="hr-HR"/>
              </w:rPr>
              <w:t>Obrazac E. Zaposlenici</w:t>
            </w:r>
            <w:r w:rsidR="00363B11">
              <w:rPr>
                <w:rFonts w:asciiTheme="minorHAnsi" w:hAnsiTheme="minorHAnsi"/>
                <w:i/>
                <w:color w:val="000000"/>
                <w:lang w:val="hr-HR"/>
              </w:rPr>
              <w:t xml:space="preserve">, u kojem je vidljivo  </w:t>
            </w:r>
            <w:r w:rsidR="00F4528D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363B11">
              <w:rPr>
                <w:rFonts w:asciiTheme="minorHAnsi" w:hAnsiTheme="minorHAnsi"/>
                <w:i/>
                <w:color w:val="000000"/>
                <w:lang w:val="hr-HR"/>
              </w:rPr>
              <w:t>stvaranje minimalno jednog radnog mjesta</w:t>
            </w:r>
            <w:r w:rsidR="00F4528D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07095076" w14:textId="449FC94C" w:rsidR="00B04C2C" w:rsidRDefault="00B04C2C" w:rsidP="00B04C2C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br.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1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 „</w:t>
            </w:r>
            <w:r w:rsidRPr="00B04C2C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doprinose većem broju ciljeva LRS-a (integrirane aktivnosti/LEADER načelo)</w:t>
            </w:r>
            <w:r w:rsidR="00AF4782">
              <w:rPr>
                <w:rFonts w:asciiTheme="minorHAnsi" w:hAnsiTheme="minorHAnsi"/>
                <w:i/>
                <w:color w:val="000000"/>
                <w:lang w:val="hr-HR"/>
              </w:rPr>
              <w:t>, obrazloženje nije potrebno dostaviti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</w:tc>
      </w:tr>
      <w:tr w:rsidR="00AF4782" w:rsidRPr="005D4BE4" w14:paraId="3452765B" w14:textId="77777777" w:rsidTr="00B04C2C">
        <w:trPr>
          <w:trHeight w:val="255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6907B7" w14:textId="200EAC7D" w:rsidR="00AF4782" w:rsidRPr="001D6F04" w:rsidRDefault="00AF4782" w:rsidP="00B04C2C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EFA855" w14:textId="25F5D946" w:rsidR="00AF4782" w:rsidRPr="002D501D" w:rsidRDefault="00AF4782" w:rsidP="0080559A">
            <w:pPr>
              <w:spacing w:before="100" w:beforeAutospacing="1" w:after="12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>Obrazloženje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 nositelja projekta na koji su način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aktivnosti iz poslovnog plana </w:t>
            </w:r>
            <w:r w:rsidRPr="008D3590">
              <w:rPr>
                <w:rFonts w:asciiTheme="minorHAnsi" w:hAnsiTheme="minorHAnsi"/>
                <w:b/>
                <w:color w:val="000000"/>
                <w:lang w:val="hr-HR"/>
              </w:rPr>
              <w:t xml:space="preserve">inovativne </w:t>
            </w:r>
          </w:p>
          <w:p w14:paraId="0C1982A0" w14:textId="77777777" w:rsidR="00AF4782" w:rsidRPr="008F4F37" w:rsidRDefault="00AF4782" w:rsidP="0080559A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 xml:space="preserve">Pojašnjenje: </w:t>
            </w:r>
          </w:p>
          <w:p w14:paraId="49B4DB03" w14:textId="59917439" w:rsidR="00AF4782" w:rsidRDefault="00AF4782" w:rsidP="00AF4782">
            <w:pPr>
              <w:spacing w:after="120" w:line="240" w:lineRule="auto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D3590">
              <w:rPr>
                <w:rFonts w:asciiTheme="minorHAnsi" w:hAnsiTheme="minorHAnsi"/>
                <w:i/>
                <w:color w:val="000000"/>
                <w:lang w:val="hr-HR"/>
              </w:rPr>
              <w:t xml:space="preserve">Inovativnost podrazumijeva uvođenje novih ili unaprjeđenje postojećih tehnologija </w:t>
            </w:r>
            <w:r w:rsidR="0080559A">
              <w:rPr>
                <w:rFonts w:asciiTheme="minorHAnsi" w:hAnsiTheme="minorHAnsi"/>
                <w:i/>
                <w:color w:val="000000"/>
                <w:lang w:val="hr-HR"/>
              </w:rPr>
              <w:t xml:space="preserve">i tehnika </w:t>
            </w:r>
            <w:r w:rsidRPr="008D3590">
              <w:rPr>
                <w:rFonts w:asciiTheme="minorHAnsi" w:hAnsiTheme="minorHAnsi"/>
                <w:i/>
                <w:color w:val="000000"/>
                <w:lang w:val="hr-HR"/>
              </w:rPr>
              <w:t xml:space="preserve">u odnosu na korisnika, ali i ukupno područje LAG-a. </w:t>
            </w:r>
            <w:r w:rsidR="0080559A">
              <w:rPr>
                <w:rFonts w:asciiTheme="minorHAnsi" w:hAnsiTheme="minorHAnsi"/>
                <w:i/>
                <w:color w:val="000000"/>
                <w:lang w:val="hr-HR"/>
              </w:rPr>
              <w:t>Korištenje nove tehnike može rezultirati proizvodnjom novog proizvoda.</w:t>
            </w:r>
          </w:p>
          <w:p w14:paraId="3A42E658" w14:textId="77777777" w:rsidR="00AF4782" w:rsidRPr="00B8234D" w:rsidRDefault="00AF4782" w:rsidP="00AF4782">
            <w:pPr>
              <w:pStyle w:val="NoSpacing"/>
              <w:spacing w:after="120" w:line="240" w:lineRule="auto"/>
              <w:jc w:val="both"/>
              <w:rPr>
                <w:rFonts w:eastAsia="Times New Roman" w:cs="Calibri Light"/>
                <w:i/>
                <w:color w:val="000000"/>
                <w:lang w:eastAsia="hr-HR"/>
              </w:rPr>
            </w:pP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>Novi proizvod je svaki proizvod koji je nastao kao rezultat ulaganja na način da stvara novu dodanu vrijednost te je naveden je u poslovnom planu. Novim proizvodom u kontekstu proizvodnje smatraju se aktivnosti koje dovode do povećanja dodane vrijednosti konačnog proizvoda (pakiranje, sortiranje i sl.) te je vidljivo da po jedinici mjere donosi dodanu vrijednost u odnosu na postojeću proizvodnju.</w:t>
            </w:r>
          </w:p>
          <w:p w14:paraId="338B9928" w14:textId="77777777" w:rsidR="00AF4782" w:rsidRPr="00B8234D" w:rsidRDefault="00AF4782" w:rsidP="00AF4782">
            <w:pPr>
              <w:pStyle w:val="NoSpacing"/>
              <w:spacing w:after="120" w:line="240" w:lineRule="auto"/>
              <w:jc w:val="both"/>
              <w:rPr>
                <w:rFonts w:eastAsia="Times New Roman" w:cs="Calibri Light"/>
                <w:i/>
                <w:color w:val="000000"/>
                <w:lang w:eastAsia="hr-HR"/>
              </w:rPr>
            </w:pP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 xml:space="preserve">Uvođenje novog/unaprijeđenog tehničko - tehnološkog procesa predstavljaju aktivnosti kojima se postojeći tehnološki proces automatizira, </w:t>
            </w:r>
            <w:proofErr w:type="spellStart"/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>informatizira</w:t>
            </w:r>
            <w:proofErr w:type="spellEnd"/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 xml:space="preserve"> (čime se isključuje kupnja osobnih računala i printera za redovito poslovanje te računalnih programa namijenjenih svakodnevnom uredskom poslovanju) ili unaprjeđuje na način da utječe na povećanu produktivnost, smanjenje utroška energije, očuvanje okoliša, ukupan prinos ili prirast i sl.</w:t>
            </w:r>
          </w:p>
          <w:p w14:paraId="0D7F6F8C" w14:textId="77777777" w:rsidR="00AF4782" w:rsidRPr="00B8234D" w:rsidRDefault="00AF4782" w:rsidP="0080559A">
            <w:pPr>
              <w:pStyle w:val="NoSpacing"/>
              <w:spacing w:after="120" w:line="240" w:lineRule="auto"/>
              <w:jc w:val="both"/>
              <w:rPr>
                <w:i/>
              </w:rPr>
            </w:pPr>
            <w:r w:rsidRPr="00B8234D">
              <w:rPr>
                <w:rFonts w:eastAsia="Times New Roman" w:cs="Calibri Light"/>
                <w:i/>
                <w:color w:val="000000"/>
                <w:lang w:eastAsia="hr-HR"/>
              </w:rPr>
              <w:t>Kupnja mehanizacije ne može se smatrati unaprjeđenjem tehničko - tehnološkog procesa.</w:t>
            </w:r>
          </w:p>
          <w:p w14:paraId="0A59DBD0" w14:textId="7DEF9F47" w:rsidR="00AF4782" w:rsidRDefault="00AF4782" w:rsidP="0080559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br. </w:t>
            </w:r>
            <w:r w:rsidR="0080559A">
              <w:rPr>
                <w:rFonts w:asciiTheme="minorHAnsi" w:hAnsiTheme="minorHAnsi"/>
                <w:i/>
                <w:color w:val="000000"/>
                <w:lang w:val="hr-HR"/>
              </w:rPr>
              <w:t>3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 „</w:t>
            </w:r>
            <w:r w:rsidRPr="008D3590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su inovativne (LEADER načelo)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“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obrazloženje nije potrebno dostaviti.</w:t>
            </w:r>
          </w:p>
        </w:tc>
      </w:tr>
      <w:tr w:rsidR="00B04C2C" w:rsidRPr="005D4BE4" w14:paraId="326CB1B9" w14:textId="77777777" w:rsidTr="0080559A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A7F8B3" w14:textId="5EA7A036" w:rsidR="00B04C2C" w:rsidRPr="001D6F04" w:rsidRDefault="00B04C2C" w:rsidP="0080559A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1</w:t>
            </w:r>
            <w:r w:rsidR="0080559A">
              <w:rPr>
                <w:rFonts w:asciiTheme="minorHAnsi" w:hAnsiTheme="minorHAnsi"/>
                <w:b/>
                <w:color w:val="000000"/>
                <w:lang w:val="hr-HR"/>
              </w:rPr>
              <w:t>3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FCE8C2" w14:textId="17A4B8BF" w:rsidR="00B04C2C" w:rsidRPr="005D4BE4" w:rsidRDefault="00B04C2C" w:rsidP="00B04C2C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Obrazac E. Zaposlenici</w:t>
            </w:r>
          </w:p>
          <w:p w14:paraId="4B7A2C86" w14:textId="77777777" w:rsidR="00B04C2C" w:rsidRPr="0080559A" w:rsidRDefault="00B04C2C" w:rsidP="00B04C2C">
            <w:pPr>
              <w:spacing w:after="0"/>
              <w:jc w:val="both"/>
              <w:rPr>
                <w:rFonts w:asciiTheme="minorHAnsi" w:hAnsiTheme="minorHAnsi"/>
                <w:color w:val="000000"/>
                <w:sz w:val="12"/>
                <w:lang w:val="hr-HR"/>
              </w:rPr>
            </w:pPr>
          </w:p>
          <w:p w14:paraId="290AE68D" w14:textId="77777777" w:rsidR="00B04C2C" w:rsidRDefault="00B04C2C" w:rsidP="00B04C2C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5C31F418" w14:textId="438DE86C" w:rsidR="00B04C2C" w:rsidRDefault="00B04C2C" w:rsidP="00B04C2C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mite predložak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tablice Zaposlenici </w:t>
            </w:r>
            <w:r w:rsidRPr="00103839">
              <w:rPr>
                <w:rFonts w:asciiTheme="minorHAnsi" w:hAnsiTheme="minorHAnsi"/>
                <w:i/>
                <w:color w:val="000000"/>
                <w:lang w:val="hr-HR"/>
              </w:rPr>
              <w:t xml:space="preserve">(Obrazac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10383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– sastavni dio Natječaja)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ispišite, potpišite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Tablica se obavezno dostavlja i u elektroničkom obliku (</w:t>
            </w:r>
            <w:r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).</w:t>
            </w:r>
            <w:r w:rsidR="00363B1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5226B2F7" w14:textId="48F3EA39" w:rsidR="00495F1D" w:rsidRDefault="00495F1D" w:rsidP="00495F1D">
            <w:pPr>
              <w:spacing w:after="120"/>
              <w:jc w:val="both"/>
              <w:rPr>
                <w:rFonts w:eastAsia="Times New Roman"/>
                <w:i/>
                <w:lang w:val="hr-HR"/>
              </w:rPr>
            </w:pPr>
            <w:r>
              <w:rPr>
                <w:rFonts w:eastAsia="Times New Roman"/>
                <w:i/>
                <w:lang w:val="hr-HR"/>
              </w:rPr>
              <w:t xml:space="preserve">U slučaju da je nositelj </w:t>
            </w:r>
            <w:r>
              <w:rPr>
                <w:rFonts w:eastAsia="Times New Roman"/>
                <w:i/>
                <w:lang w:val="hr-HR"/>
              </w:rPr>
              <w:t xml:space="preserve">projekta u dostavljenom Obrascu E. Zaposlenici </w:t>
            </w:r>
            <w:r>
              <w:rPr>
                <w:rFonts w:eastAsia="Times New Roman"/>
                <w:i/>
                <w:lang w:val="hr-HR"/>
              </w:rPr>
              <w:t>dokazao stvaranje minimalno jednog radnog mjesta, osim prava na ostvarivanje bodova po kriteriju br. 5, može ostvariti bodove po kriteriju br. 1</w:t>
            </w:r>
            <w:r>
              <w:rPr>
                <w:rFonts w:eastAsia="Times New Roman"/>
                <w:i/>
                <w:lang w:val="hr-HR"/>
              </w:rPr>
              <w:t>,</w:t>
            </w:r>
            <w:bookmarkStart w:id="0" w:name="_GoBack"/>
            <w:bookmarkEnd w:id="0"/>
            <w:r>
              <w:rPr>
                <w:rFonts w:eastAsia="Times New Roman"/>
                <w:i/>
                <w:lang w:val="hr-HR"/>
              </w:rPr>
              <w:t xml:space="preserve"> pod uvjetom</w:t>
            </w:r>
            <w:r>
              <w:rPr>
                <w:rFonts w:eastAsia="Times New Roman"/>
                <w:i/>
                <w:lang w:val="hr-HR"/>
              </w:rPr>
              <w:t xml:space="preserve"> </w:t>
            </w:r>
            <w:r w:rsidR="00D56442">
              <w:rPr>
                <w:rFonts w:eastAsia="Times New Roman"/>
                <w:i/>
                <w:lang w:val="hr-HR"/>
              </w:rPr>
              <w:t>da</w:t>
            </w:r>
            <w:r>
              <w:rPr>
                <w:rFonts w:eastAsia="Times New Roman"/>
                <w:i/>
                <w:lang w:val="hr-HR"/>
              </w:rPr>
              <w:t xml:space="preserve"> je dostavio </w:t>
            </w:r>
            <w:r w:rsidRPr="00495F1D">
              <w:rPr>
                <w:rFonts w:eastAsia="Times New Roman"/>
                <w:i/>
                <w:lang w:val="hr-HR"/>
              </w:rPr>
              <w:t>Obrazloženje na koji način aktivnosti iz poslovnog plana doprinose ostvarenju ciljeva Lokalne razvojne strategije</w:t>
            </w:r>
            <w:r>
              <w:rPr>
                <w:rFonts w:eastAsia="Times New Roman"/>
                <w:bCs/>
                <w:i/>
                <w:lang w:val="hr-HR"/>
              </w:rPr>
              <w:t xml:space="preserve"> (iz reda 11.)</w:t>
            </w:r>
            <w:r w:rsidRPr="00495F1D">
              <w:rPr>
                <w:rFonts w:eastAsia="Times New Roman"/>
                <w:i/>
                <w:lang w:val="hr-HR"/>
              </w:rPr>
              <w:t>, uključujući Cilj 3 Poboljšanje kvalitete života i stvaranje</w:t>
            </w:r>
            <w:r w:rsidRPr="006D5E27">
              <w:rPr>
                <w:rFonts w:eastAsia="Times New Roman"/>
                <w:i/>
                <w:lang w:val="hr-HR"/>
              </w:rPr>
              <w:t xml:space="preserve"> radnih mjesta</w:t>
            </w:r>
            <w:r>
              <w:rPr>
                <w:rFonts w:eastAsia="Times New Roman"/>
                <w:i/>
                <w:lang w:val="hr-HR"/>
              </w:rPr>
              <w:t>.</w:t>
            </w:r>
          </w:p>
          <w:p w14:paraId="036E1D75" w14:textId="69FAFF56" w:rsidR="00B04C2C" w:rsidRPr="005D4BE4" w:rsidRDefault="00B04C2C" w:rsidP="00363B11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br. </w:t>
            </w:r>
            <w:r w:rsidR="0080559A">
              <w:rPr>
                <w:rFonts w:asciiTheme="minorHAnsi" w:hAnsiTheme="minorHAnsi"/>
                <w:i/>
                <w:color w:val="000000"/>
                <w:lang w:val="hr-HR"/>
              </w:rPr>
              <w:t>5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„</w:t>
            </w:r>
            <w:r w:rsidRPr="003D672B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doprinose očuvanju postojećih ili stvaranju novih radnih mjesta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“ </w:t>
            </w:r>
            <w:r w:rsidR="00363B11">
              <w:rPr>
                <w:rFonts w:asciiTheme="minorHAnsi" w:hAnsiTheme="minorHAnsi"/>
                <w:i/>
                <w:color w:val="000000"/>
                <w:lang w:val="hr-HR"/>
              </w:rPr>
              <w:t xml:space="preserve">te nije dostavio Obrazloženje da aktivnosti doprinose Cilju 3. </w:t>
            </w:r>
            <w:r w:rsidR="00363B11" w:rsidRPr="00EA74F6">
              <w:rPr>
                <w:rFonts w:asciiTheme="minorHAnsi" w:hAnsiTheme="minorHAnsi"/>
                <w:i/>
                <w:color w:val="000000"/>
                <w:lang w:val="hr-HR"/>
              </w:rPr>
              <w:t>Poboljšanje kvalitete života i stvaranje radnih mjesta</w:t>
            </w:r>
            <w:r w:rsidR="00363B11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E. Zaposlenici nije potrebno dostaviti. </w:t>
            </w:r>
          </w:p>
        </w:tc>
      </w:tr>
      <w:tr w:rsidR="00B04C2C" w:rsidRPr="005D4BE4" w14:paraId="3055781B" w14:textId="77777777" w:rsidTr="00B04C2C">
        <w:trPr>
          <w:trHeight w:val="205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3A4313" w14:textId="372BBA14" w:rsidR="00B04C2C" w:rsidRPr="001D6F04" w:rsidRDefault="00B04C2C" w:rsidP="00266D2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266D24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F21D9" w14:textId="61F4F89E" w:rsidR="00B04C2C" w:rsidRPr="005D4BE4" w:rsidRDefault="00B04C2C" w:rsidP="00B04C2C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Rješenje o upisu u Upisnik subjekata u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ekološk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oj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proizvodnj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za proizvod na koji se odnosi 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minimalno jedna prijavljena 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aktivnost 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u poslovnom planu</w:t>
            </w:r>
          </w:p>
          <w:p w14:paraId="18B25E72" w14:textId="412FDB78" w:rsidR="00B04C2C" w:rsidRDefault="0080559A" w:rsidP="00B04C2C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>
              <w:rPr>
                <w:rFonts w:asciiTheme="minorHAnsi" w:hAnsiTheme="minorHAnsi"/>
                <w:color w:val="000000"/>
                <w:lang w:val="hr-HR"/>
              </w:rPr>
              <w:t>Ili</w:t>
            </w:r>
          </w:p>
          <w:p w14:paraId="078885B1" w14:textId="5005AE3C" w:rsidR="0080559A" w:rsidRDefault="005F1832" w:rsidP="005F1832">
            <w:pPr>
              <w:spacing w:after="12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Izjava nositelja projekta da se minimalno jedna prijavljena aktivnost odnosi na proizvod </w:t>
            </w:r>
            <w:r w:rsidRPr="005F1832">
              <w:rPr>
                <w:rFonts w:asciiTheme="minorHAnsi" w:hAnsiTheme="minorHAnsi"/>
                <w:b/>
                <w:i/>
                <w:color w:val="000000"/>
                <w:lang w:val="hr-HR"/>
              </w:rPr>
              <w:t>(specificirati koji proizvod)</w:t>
            </w:r>
            <w:r w:rsidRPr="005F1832">
              <w:rPr>
                <w:rFonts w:asciiTheme="minorHAnsi" w:hAnsiTheme="minorHAnsi"/>
                <w:b/>
                <w:color w:val="000000"/>
                <w:lang w:val="hr-HR"/>
              </w:rPr>
              <w:t xml:space="preserve"> u sustavu sheme kvalitete sukladno Zakonu o zaštićenim oznakama izvornosti, zaštićenim oznakama zemljopisnog podrijetla i zajamčeno tradicionalnim specijalitetima poljoprivrednih i prehrambenih proizvoda (NN 80/13; 14/14)</w:t>
            </w:r>
          </w:p>
          <w:p w14:paraId="12778C9F" w14:textId="77777777" w:rsidR="005F1832" w:rsidRPr="00BA5BE9" w:rsidRDefault="005F1832" w:rsidP="005F1832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04FA1C07" w14:textId="157316A1" w:rsidR="005F1832" w:rsidRPr="0080559A" w:rsidRDefault="005F1832" w:rsidP="005F1832">
            <w:pPr>
              <w:spacing w:after="12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U Izjavi nositelj projekta treba navesti točan naziv proizvoda iz sustava shema kvalitete,</w:t>
            </w:r>
            <w:r w:rsidR="00266D2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koji proizvodi ili će proizvoditi te koje </w:t>
            </w:r>
            <w:r w:rsidR="00266D24">
              <w:rPr>
                <w:rFonts w:asciiTheme="minorHAnsi" w:hAnsiTheme="minorHAnsi"/>
                <w:i/>
                <w:color w:val="000000"/>
                <w:lang w:val="hr-HR"/>
              </w:rPr>
              <w:t xml:space="preserve">su od prijavljenih aktivnosti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nužne za proizvodnju predmetnog proizvoda.</w:t>
            </w:r>
          </w:p>
          <w:p w14:paraId="632C2A09" w14:textId="0132195A" w:rsidR="00B04C2C" w:rsidRPr="002D501D" w:rsidRDefault="00B04C2C" w:rsidP="00266D2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br. </w:t>
            </w:r>
            <w:r w:rsidR="00266D24">
              <w:rPr>
                <w:rFonts w:asciiTheme="minorHAnsi" w:hAnsiTheme="minorHAnsi"/>
                <w:i/>
                <w:color w:val="000000"/>
                <w:lang w:val="hr-HR"/>
              </w:rPr>
              <w:t>6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„</w:t>
            </w:r>
            <w:r w:rsidR="00266D24" w:rsidRPr="00266D24">
              <w:rPr>
                <w:rFonts w:asciiTheme="minorHAnsi" w:hAnsiTheme="minorHAnsi"/>
                <w:i/>
                <w:color w:val="000000"/>
                <w:lang w:val="hr-HR"/>
              </w:rPr>
              <w:t>Aktivnosti iz poslovnog plana se odnose na ekološku poljoprivredu i/ili sustave kvalitete za poljoprivredne i prehrambene proizvode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“ dokument nije potrebno dostaviti.</w:t>
            </w:r>
          </w:p>
        </w:tc>
      </w:tr>
      <w:tr w:rsidR="00B04C2C" w:rsidRPr="003F0D04" w14:paraId="43104D10" w14:textId="77777777" w:rsidTr="00D56442">
        <w:trPr>
          <w:trHeight w:val="493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EAE418" w14:textId="2ADAAF08" w:rsidR="00B04C2C" w:rsidRPr="001D6F04" w:rsidRDefault="00B04C2C" w:rsidP="00266D2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 w:rsidR="00266D2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B2A4DD" w14:textId="1EE91B1E" w:rsidR="00B04C2C" w:rsidRPr="002D501D" w:rsidRDefault="00B04C2C" w:rsidP="00D56442">
            <w:pPr>
              <w:spacing w:before="100" w:beforeAutospacing="1" w:after="12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>Obrazloženje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 nositelja projekta na koji način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aktivnosti iz poslovnog plana </w:t>
            </w:r>
            <w:r w:rsidR="00266D24">
              <w:rPr>
                <w:rFonts w:asciiTheme="minorHAnsi" w:hAnsiTheme="minorHAnsi"/>
                <w:b/>
                <w:color w:val="000000"/>
                <w:lang w:val="hr-HR"/>
              </w:rPr>
              <w:t>doprinose očuvanju okoliša i prirode</w:t>
            </w:r>
            <w:r w:rsidRPr="002D501D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</w:p>
          <w:p w14:paraId="1B75A865" w14:textId="566BB722" w:rsidR="00B04C2C" w:rsidRPr="008F4F37" w:rsidRDefault="00B04C2C" w:rsidP="00D56442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03E619BC" w14:textId="7D26C30C" w:rsidR="00B04C2C" w:rsidRDefault="00B04C2C" w:rsidP="00B04C2C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Nositelj projekta može ostvariti bodove po ovom kriteriju ukoliko se prijavljene aktivnosti (bez obzira na njihov </w:t>
            </w:r>
            <w:r w:rsidR="001F4220">
              <w:rPr>
                <w:rFonts w:asciiTheme="minorHAnsi" w:hAnsiTheme="minorHAnsi"/>
                <w:i/>
                <w:color w:val="000000"/>
                <w:lang w:val="hr-HR"/>
              </w:rPr>
              <w:t>udio u projektu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) odnose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 na obnovljive izvore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energije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 i/ili uštedu energije. </w:t>
            </w:r>
          </w:p>
          <w:p w14:paraId="1C34E1EA" w14:textId="561000DA" w:rsidR="00495F1D" w:rsidRDefault="00495F1D" w:rsidP="00B04C2C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eastAsia="Times New Roman"/>
                <w:i/>
                <w:lang w:val="hr-HR"/>
              </w:rPr>
              <w:t xml:space="preserve">Obnovljivi izvori energije uključuju sve oblike obnovljivih izvora energije kao što su solarni paneli, </w:t>
            </w:r>
            <w:proofErr w:type="spellStart"/>
            <w:r>
              <w:rPr>
                <w:rFonts w:eastAsia="Times New Roman"/>
                <w:i/>
                <w:lang w:val="hr-HR"/>
              </w:rPr>
              <w:t>fotonaponski</w:t>
            </w:r>
            <w:proofErr w:type="spellEnd"/>
            <w:r>
              <w:rPr>
                <w:rFonts w:eastAsia="Times New Roman"/>
                <w:i/>
                <w:lang w:val="hr-HR"/>
              </w:rPr>
              <w:t xml:space="preserve"> paneli, </w:t>
            </w:r>
            <w:r w:rsidRPr="007A3A52">
              <w:rPr>
                <w:rFonts w:eastAsia="Times New Roman"/>
                <w:i/>
                <w:lang w:val="hr-HR"/>
              </w:rPr>
              <w:t>dizalice topline, sustavi za grijanje na biomasu</w:t>
            </w:r>
            <w:r>
              <w:rPr>
                <w:rFonts w:eastAsia="Times New Roman"/>
                <w:i/>
                <w:lang w:val="hr-HR"/>
              </w:rPr>
              <w:t>, bioplin, geotermalnu energiju i slično.</w:t>
            </w:r>
          </w:p>
          <w:p w14:paraId="0BC9E6CA" w14:textId="0A2DEFDB" w:rsidR="00B04C2C" w:rsidRPr="00AD2422" w:rsidRDefault="00B04C2C" w:rsidP="00B04C2C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Pod uštedom energije podrazumijeva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se građenje objekta minimalno B energetskog razreda te 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>kupnja isk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ljučivo novih strojeva i opreme</w:t>
            </w:r>
            <w:r w:rsidRPr="00AD2422">
              <w:rPr>
                <w:rFonts w:asciiTheme="minorHAnsi" w:hAnsiTheme="minorHAnsi"/>
                <w:i/>
                <w:color w:val="000000"/>
                <w:lang w:val="hr-HR"/>
              </w:rPr>
              <w:t xml:space="preserve">. </w:t>
            </w:r>
          </w:p>
          <w:p w14:paraId="5BA77A6B" w14:textId="235A092D" w:rsidR="00B04C2C" w:rsidRPr="003F0D04" w:rsidRDefault="00B04C2C" w:rsidP="00266D2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nositelj projekta nije zatražio bodove po kriteriju odabira 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br. </w:t>
            </w:r>
            <w:r w:rsidR="00266D24">
              <w:rPr>
                <w:rFonts w:asciiTheme="minorHAnsi" w:hAnsiTheme="minorHAnsi"/>
                <w:i/>
                <w:color w:val="000000"/>
                <w:lang w:val="hr-HR"/>
              </w:rPr>
              <w:t>7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 „Aktivnosti iz poslovnog plana doprinose očuvanju okoliša </w:t>
            </w:r>
            <w:r w:rsidR="00266D24">
              <w:rPr>
                <w:rFonts w:asciiTheme="minorHAnsi" w:hAnsiTheme="minorHAnsi"/>
                <w:i/>
                <w:color w:val="000000"/>
                <w:lang w:val="hr-HR"/>
              </w:rPr>
              <w:t>i prirode</w:t>
            </w:r>
            <w:r w:rsidRPr="00227DE8">
              <w:rPr>
                <w:rFonts w:asciiTheme="minorHAnsi" w:hAnsiTheme="minorHAnsi"/>
                <w:i/>
                <w:color w:val="000000"/>
                <w:lang w:val="hr-HR"/>
              </w:rPr>
              <w:t xml:space="preserve">“ 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obrazloženje nije potrebno dostaviti.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88418B">
      <w:headerReference w:type="default" r:id="rId9"/>
      <w:footerReference w:type="default" r:id="rId10"/>
      <w:pgSz w:w="12240" w:h="15840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07FF" w14:textId="77777777" w:rsidR="00F91FF4" w:rsidRDefault="00F91FF4" w:rsidP="004348F8">
      <w:pPr>
        <w:spacing w:after="0" w:line="240" w:lineRule="auto"/>
      </w:pPr>
      <w:r>
        <w:separator/>
      </w:r>
    </w:p>
  </w:endnote>
  <w:endnote w:type="continuationSeparator" w:id="0">
    <w:p w14:paraId="4569D2A3" w14:textId="77777777" w:rsidR="00F91FF4" w:rsidRDefault="00F91FF4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F7C3" w14:textId="57E7DA89" w:rsidR="005B4439" w:rsidRPr="00820993" w:rsidRDefault="00820993">
    <w:pPr>
      <w:pStyle w:val="Footer"/>
      <w:rPr>
        <w:sz w:val="24"/>
        <w:szCs w:val="24"/>
        <w:lang w:val="hr-HR"/>
      </w:rPr>
    </w:pPr>
    <w:r w:rsidRPr="00820993">
      <w:rPr>
        <w:sz w:val="24"/>
        <w:szCs w:val="24"/>
        <w:lang w:val="hr-HR"/>
      </w:rPr>
      <w:t>Verzija: 1.0.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12053" w14:textId="77777777" w:rsidR="00F91FF4" w:rsidRDefault="00F91FF4" w:rsidP="004348F8">
      <w:pPr>
        <w:spacing w:after="0" w:line="240" w:lineRule="auto"/>
      </w:pPr>
      <w:r>
        <w:separator/>
      </w:r>
    </w:p>
  </w:footnote>
  <w:footnote w:type="continuationSeparator" w:id="0">
    <w:p w14:paraId="401D7D85" w14:textId="77777777" w:rsidR="00F91FF4" w:rsidRDefault="00F91FF4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D0AFF" w14:textId="08738AE3" w:rsidR="005B4439" w:rsidRDefault="005B4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8575D"/>
    <w:rsid w:val="000A231C"/>
    <w:rsid w:val="000A7902"/>
    <w:rsid w:val="000B5273"/>
    <w:rsid w:val="000C0882"/>
    <w:rsid w:val="000C3DD5"/>
    <w:rsid w:val="000C56B9"/>
    <w:rsid w:val="000C5A21"/>
    <w:rsid w:val="000D0B7A"/>
    <w:rsid w:val="000D2F34"/>
    <w:rsid w:val="000D52FD"/>
    <w:rsid w:val="000D5369"/>
    <w:rsid w:val="000E7131"/>
    <w:rsid w:val="000F34BA"/>
    <w:rsid w:val="000F7EAE"/>
    <w:rsid w:val="00103839"/>
    <w:rsid w:val="001113B1"/>
    <w:rsid w:val="00117EFB"/>
    <w:rsid w:val="0012650E"/>
    <w:rsid w:val="00131564"/>
    <w:rsid w:val="00140895"/>
    <w:rsid w:val="00150BBB"/>
    <w:rsid w:val="00156C0B"/>
    <w:rsid w:val="00161555"/>
    <w:rsid w:val="001D1C2B"/>
    <w:rsid w:val="001D5263"/>
    <w:rsid w:val="001D6F04"/>
    <w:rsid w:val="001F23D1"/>
    <w:rsid w:val="001F2DD9"/>
    <w:rsid w:val="001F4220"/>
    <w:rsid w:val="00202440"/>
    <w:rsid w:val="00221EA3"/>
    <w:rsid w:val="00227DE8"/>
    <w:rsid w:val="002321BC"/>
    <w:rsid w:val="00232B2C"/>
    <w:rsid w:val="002421F2"/>
    <w:rsid w:val="00244A89"/>
    <w:rsid w:val="00251BD9"/>
    <w:rsid w:val="00252FDD"/>
    <w:rsid w:val="002612AE"/>
    <w:rsid w:val="00261A8F"/>
    <w:rsid w:val="002637A7"/>
    <w:rsid w:val="00266D24"/>
    <w:rsid w:val="00270AEF"/>
    <w:rsid w:val="00293B93"/>
    <w:rsid w:val="002940BD"/>
    <w:rsid w:val="00294D8C"/>
    <w:rsid w:val="002A7461"/>
    <w:rsid w:val="002B768C"/>
    <w:rsid w:val="002B76F2"/>
    <w:rsid w:val="002C0D84"/>
    <w:rsid w:val="002D4265"/>
    <w:rsid w:val="002D4BBC"/>
    <w:rsid w:val="002D501D"/>
    <w:rsid w:val="002E04AA"/>
    <w:rsid w:val="002F4C74"/>
    <w:rsid w:val="00305FB2"/>
    <w:rsid w:val="00310885"/>
    <w:rsid w:val="0031298D"/>
    <w:rsid w:val="003146BE"/>
    <w:rsid w:val="0031623F"/>
    <w:rsid w:val="00320D77"/>
    <w:rsid w:val="00321EA7"/>
    <w:rsid w:val="00324184"/>
    <w:rsid w:val="00330A6D"/>
    <w:rsid w:val="0034256C"/>
    <w:rsid w:val="00343079"/>
    <w:rsid w:val="00344BA6"/>
    <w:rsid w:val="003574C2"/>
    <w:rsid w:val="00363B11"/>
    <w:rsid w:val="00381A41"/>
    <w:rsid w:val="0038739C"/>
    <w:rsid w:val="00394799"/>
    <w:rsid w:val="003A127F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672B"/>
    <w:rsid w:val="003D7160"/>
    <w:rsid w:val="003F0D04"/>
    <w:rsid w:val="003F27CF"/>
    <w:rsid w:val="003F3BE7"/>
    <w:rsid w:val="00423DAC"/>
    <w:rsid w:val="00431444"/>
    <w:rsid w:val="004348F8"/>
    <w:rsid w:val="00437BAA"/>
    <w:rsid w:val="00445761"/>
    <w:rsid w:val="00454658"/>
    <w:rsid w:val="00467B1B"/>
    <w:rsid w:val="00471A82"/>
    <w:rsid w:val="00473E20"/>
    <w:rsid w:val="004800E0"/>
    <w:rsid w:val="00482782"/>
    <w:rsid w:val="00485F7F"/>
    <w:rsid w:val="0048604D"/>
    <w:rsid w:val="00493B0D"/>
    <w:rsid w:val="00495F1D"/>
    <w:rsid w:val="004A081C"/>
    <w:rsid w:val="004A1CFC"/>
    <w:rsid w:val="004B623C"/>
    <w:rsid w:val="004C3B04"/>
    <w:rsid w:val="004C59A5"/>
    <w:rsid w:val="004D01A2"/>
    <w:rsid w:val="004D5CDE"/>
    <w:rsid w:val="004D7575"/>
    <w:rsid w:val="004E2E55"/>
    <w:rsid w:val="004E7854"/>
    <w:rsid w:val="004E7AF2"/>
    <w:rsid w:val="004F55FB"/>
    <w:rsid w:val="004F6048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B4439"/>
    <w:rsid w:val="005C6851"/>
    <w:rsid w:val="005D129E"/>
    <w:rsid w:val="005D2210"/>
    <w:rsid w:val="005D4BE4"/>
    <w:rsid w:val="005E0A97"/>
    <w:rsid w:val="005E66CE"/>
    <w:rsid w:val="005F1832"/>
    <w:rsid w:val="005F5044"/>
    <w:rsid w:val="006052CA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25BF0"/>
    <w:rsid w:val="00733CB8"/>
    <w:rsid w:val="00735500"/>
    <w:rsid w:val="0073656B"/>
    <w:rsid w:val="00737B12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0864"/>
    <w:rsid w:val="007E49C1"/>
    <w:rsid w:val="007E5236"/>
    <w:rsid w:val="007E5566"/>
    <w:rsid w:val="007E7EDF"/>
    <w:rsid w:val="0080559A"/>
    <w:rsid w:val="008118F3"/>
    <w:rsid w:val="00811DCC"/>
    <w:rsid w:val="00820993"/>
    <w:rsid w:val="00823E64"/>
    <w:rsid w:val="00850E51"/>
    <w:rsid w:val="00851855"/>
    <w:rsid w:val="008675FB"/>
    <w:rsid w:val="008677A0"/>
    <w:rsid w:val="00875706"/>
    <w:rsid w:val="0088418B"/>
    <w:rsid w:val="00897A8F"/>
    <w:rsid w:val="008A4B0D"/>
    <w:rsid w:val="008A6434"/>
    <w:rsid w:val="008A7F57"/>
    <w:rsid w:val="008B505C"/>
    <w:rsid w:val="008B5433"/>
    <w:rsid w:val="008D0681"/>
    <w:rsid w:val="008D1D08"/>
    <w:rsid w:val="008D3590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224FA"/>
    <w:rsid w:val="00A22AD3"/>
    <w:rsid w:val="00A348EB"/>
    <w:rsid w:val="00A360A1"/>
    <w:rsid w:val="00A41655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D2422"/>
    <w:rsid w:val="00AF4782"/>
    <w:rsid w:val="00AF6B8D"/>
    <w:rsid w:val="00B0475D"/>
    <w:rsid w:val="00B04C2C"/>
    <w:rsid w:val="00B208B6"/>
    <w:rsid w:val="00B2554D"/>
    <w:rsid w:val="00B26E12"/>
    <w:rsid w:val="00B30566"/>
    <w:rsid w:val="00B30665"/>
    <w:rsid w:val="00B36FF7"/>
    <w:rsid w:val="00B4189F"/>
    <w:rsid w:val="00B4637F"/>
    <w:rsid w:val="00B525C2"/>
    <w:rsid w:val="00B60AF0"/>
    <w:rsid w:val="00B63381"/>
    <w:rsid w:val="00B671FD"/>
    <w:rsid w:val="00B71259"/>
    <w:rsid w:val="00B75648"/>
    <w:rsid w:val="00B8234D"/>
    <w:rsid w:val="00B83737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93610"/>
    <w:rsid w:val="00CA4A76"/>
    <w:rsid w:val="00CA6D15"/>
    <w:rsid w:val="00CC1F54"/>
    <w:rsid w:val="00CC3CA6"/>
    <w:rsid w:val="00CE6E57"/>
    <w:rsid w:val="00CF1E34"/>
    <w:rsid w:val="00CF2B95"/>
    <w:rsid w:val="00CF35C4"/>
    <w:rsid w:val="00CF683C"/>
    <w:rsid w:val="00D04B9A"/>
    <w:rsid w:val="00D068B2"/>
    <w:rsid w:val="00D413F0"/>
    <w:rsid w:val="00D42B1E"/>
    <w:rsid w:val="00D435CA"/>
    <w:rsid w:val="00D5116A"/>
    <w:rsid w:val="00D56442"/>
    <w:rsid w:val="00D7382D"/>
    <w:rsid w:val="00D77B36"/>
    <w:rsid w:val="00D82688"/>
    <w:rsid w:val="00D8435B"/>
    <w:rsid w:val="00D85F10"/>
    <w:rsid w:val="00D96DE7"/>
    <w:rsid w:val="00DA0A2B"/>
    <w:rsid w:val="00DA178E"/>
    <w:rsid w:val="00DA2CB4"/>
    <w:rsid w:val="00DB576B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62377"/>
    <w:rsid w:val="00E9120C"/>
    <w:rsid w:val="00E973AB"/>
    <w:rsid w:val="00E97F06"/>
    <w:rsid w:val="00EA16CD"/>
    <w:rsid w:val="00EA2FB8"/>
    <w:rsid w:val="00EA4AC7"/>
    <w:rsid w:val="00EA5674"/>
    <w:rsid w:val="00EA74F6"/>
    <w:rsid w:val="00EA7971"/>
    <w:rsid w:val="00EB28EC"/>
    <w:rsid w:val="00ED2897"/>
    <w:rsid w:val="00EE3336"/>
    <w:rsid w:val="00EF11B2"/>
    <w:rsid w:val="00F01BD9"/>
    <w:rsid w:val="00F132D9"/>
    <w:rsid w:val="00F1570C"/>
    <w:rsid w:val="00F16DB8"/>
    <w:rsid w:val="00F2589F"/>
    <w:rsid w:val="00F32FF2"/>
    <w:rsid w:val="00F4528D"/>
    <w:rsid w:val="00F611C5"/>
    <w:rsid w:val="00F67129"/>
    <w:rsid w:val="00F737AF"/>
    <w:rsid w:val="00F80CEE"/>
    <w:rsid w:val="00F82E1D"/>
    <w:rsid w:val="00F86CC2"/>
    <w:rsid w:val="00F91FF4"/>
    <w:rsid w:val="00FA4479"/>
    <w:rsid w:val="00FB236E"/>
    <w:rsid w:val="00FB30C3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B44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43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lau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60448-3334-45C1-AC3D-38E6E929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Tatjana</cp:lastModifiedBy>
  <cp:revision>14</cp:revision>
  <cp:lastPrinted>2017-11-13T12:43:00Z</cp:lastPrinted>
  <dcterms:created xsi:type="dcterms:W3CDTF">2018-03-01T00:46:00Z</dcterms:created>
  <dcterms:modified xsi:type="dcterms:W3CDTF">2018-04-08T18:08:00Z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